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FEFDD" w14:textId="77777777" w:rsidR="00AE1279" w:rsidRDefault="00056D97" w:rsidP="00056D97">
      <w:pPr>
        <w:spacing w:after="0" w:line="360" w:lineRule="auto"/>
        <w:jc w:val="both"/>
        <w:rPr>
          <w:rFonts w:ascii="Times New Roman" w:hAnsi="Times New Roman"/>
          <w:color w:val="1D2129"/>
          <w:sz w:val="28"/>
          <w:szCs w:val="21"/>
        </w:rPr>
      </w:pPr>
      <w:r>
        <w:rPr>
          <w:rFonts w:ascii="Times New Roman" w:hAnsi="Times New Roman"/>
          <w:b/>
          <w:bCs/>
          <w:color w:val="1D2129"/>
          <w:sz w:val="24"/>
          <w:szCs w:val="20"/>
        </w:rPr>
        <w:t xml:space="preserve">VẬN CHUYỂN ƯỚT, </w:t>
      </w:r>
      <w:r>
        <w:rPr>
          <w:rFonts w:ascii="Times New Roman" w:hAnsi="Times New Roman"/>
          <w:color w:val="1D2129"/>
          <w:sz w:val="28"/>
          <w:szCs w:val="21"/>
        </w:rPr>
        <w:t>phương pháp di chuyển kết cấu công trình ở trạng thái nổi với sự trợ giúp của các tàu kéo hoặc tàu đẩy.</w:t>
      </w:r>
    </w:p>
    <w:p w14:paraId="124445EA" w14:textId="74EEDF87" w:rsidR="00056D97" w:rsidRPr="00194DFE" w:rsidRDefault="00056D97" w:rsidP="00AE1279">
      <w:pPr>
        <w:spacing w:after="0" w:line="360" w:lineRule="auto"/>
        <w:ind w:firstLine="567"/>
        <w:jc w:val="both"/>
        <w:rPr>
          <w:rFonts w:ascii="Times New Roman" w:hAnsi="Times New Roman"/>
          <w:color w:val="1D2129"/>
          <w:sz w:val="28"/>
          <w:szCs w:val="21"/>
          <w:lang w:val="vi-VN"/>
        </w:rPr>
      </w:pPr>
      <w:r>
        <w:rPr>
          <w:rFonts w:ascii="Times New Roman" w:hAnsi="Times New Roman"/>
          <w:color w:val="1D2129"/>
          <w:sz w:val="28"/>
          <w:szCs w:val="21"/>
        </w:rPr>
        <w:t xml:space="preserve">VCƯ được áp dụng cho </w:t>
      </w:r>
      <w:r w:rsidR="007233EB">
        <w:rPr>
          <w:rFonts w:ascii="Times New Roman" w:hAnsi="Times New Roman"/>
          <w:color w:val="1D2129"/>
          <w:sz w:val="28"/>
          <w:szCs w:val="21"/>
          <w:lang w:val="vi-VN"/>
        </w:rPr>
        <w:t xml:space="preserve">việc </w:t>
      </w:r>
      <w:r>
        <w:rPr>
          <w:rFonts w:ascii="Times New Roman" w:hAnsi="Times New Roman"/>
          <w:color w:val="1D2129"/>
          <w:sz w:val="28"/>
          <w:szCs w:val="21"/>
        </w:rPr>
        <w:t>di chuyển dàn tự nâng khi thay đổi vị trí khai thác, di chuyển bể chứa nổi dạng tàu thủy,</w:t>
      </w:r>
      <w:r w:rsidR="00534C01">
        <w:rPr>
          <w:rFonts w:ascii="Times New Roman" w:hAnsi="Times New Roman"/>
          <w:color w:val="1D2129"/>
          <w:sz w:val="28"/>
          <w:szCs w:val="21"/>
          <w:lang w:val="vi-VN"/>
        </w:rPr>
        <w:t xml:space="preserve"> di chuyển</w:t>
      </w:r>
      <w:r>
        <w:rPr>
          <w:rFonts w:ascii="Times New Roman" w:hAnsi="Times New Roman"/>
          <w:color w:val="1D2129"/>
          <w:sz w:val="28"/>
          <w:szCs w:val="21"/>
        </w:rPr>
        <w:t xml:space="preserve"> công trình biển trọng lực và công trình điện</w:t>
      </w:r>
      <w:r w:rsidR="002A57EC">
        <w:rPr>
          <w:rFonts w:ascii="Times New Roman" w:hAnsi="Times New Roman"/>
          <w:color w:val="1D2129"/>
          <w:sz w:val="28"/>
          <w:szCs w:val="21"/>
        </w:rPr>
        <w:t xml:space="preserve"> gió</w:t>
      </w:r>
      <w:r>
        <w:rPr>
          <w:rFonts w:ascii="Times New Roman" w:hAnsi="Times New Roman"/>
          <w:color w:val="1D2129"/>
          <w:sz w:val="28"/>
          <w:szCs w:val="21"/>
        </w:rPr>
        <w:t xml:space="preserve"> nổi từ địa điểm chế tạo trên</w:t>
      </w:r>
      <w:r w:rsidR="007233EB">
        <w:rPr>
          <w:rFonts w:ascii="Times New Roman" w:hAnsi="Times New Roman"/>
          <w:color w:val="1D2129"/>
          <w:sz w:val="28"/>
          <w:szCs w:val="21"/>
          <w:lang w:val="vi-VN"/>
        </w:rPr>
        <w:t xml:space="preserve"> bờ hoặc</w:t>
      </w:r>
      <w:r w:rsidR="00124BDF">
        <w:rPr>
          <w:rFonts w:ascii="Times New Roman" w:hAnsi="Times New Roman"/>
          <w:color w:val="1D2129"/>
          <w:sz w:val="28"/>
          <w:szCs w:val="21"/>
        </w:rPr>
        <w:t xml:space="preserve"> </w:t>
      </w:r>
      <w:r>
        <w:rPr>
          <w:rFonts w:ascii="Times New Roman" w:hAnsi="Times New Roman"/>
          <w:color w:val="1D2129"/>
          <w:sz w:val="28"/>
          <w:szCs w:val="21"/>
        </w:rPr>
        <w:t>gần bờ ra vị trí xây lắp ngoài khơi.</w:t>
      </w:r>
      <w:r w:rsidR="00B219AB">
        <w:rPr>
          <w:rFonts w:ascii="Times New Roman" w:hAnsi="Times New Roman"/>
          <w:color w:val="1D2129"/>
          <w:sz w:val="28"/>
          <w:szCs w:val="21"/>
          <w:lang w:val="vi-VN"/>
        </w:rPr>
        <w:t xml:space="preserve"> </w:t>
      </w:r>
    </w:p>
    <w:p w14:paraId="603AE990" w14:textId="16F0CBF6" w:rsidR="00124BDF" w:rsidRDefault="000553F4" w:rsidP="00124BDF">
      <w:pPr>
        <w:spacing w:after="0" w:line="360" w:lineRule="auto"/>
        <w:ind w:firstLine="567"/>
        <w:jc w:val="both"/>
        <w:rPr>
          <w:rFonts w:ascii="Times New Roman" w:hAnsi="Times New Roman"/>
          <w:color w:val="1D2129"/>
          <w:sz w:val="28"/>
          <w:szCs w:val="21"/>
        </w:rPr>
      </w:pPr>
      <w:r>
        <w:rPr>
          <w:rFonts w:ascii="Times New Roman" w:hAnsi="Times New Roman"/>
          <w:color w:val="1D2129"/>
          <w:sz w:val="28"/>
          <w:szCs w:val="21"/>
        </w:rPr>
        <w:t>So</w:t>
      </w:r>
      <w:r>
        <w:rPr>
          <w:rFonts w:ascii="Times New Roman" w:hAnsi="Times New Roman"/>
          <w:color w:val="1D2129"/>
          <w:sz w:val="28"/>
          <w:szCs w:val="21"/>
          <w:lang w:val="vi-VN"/>
        </w:rPr>
        <w:t xml:space="preserve"> với vận chuyển bằng cần trục</w:t>
      </w:r>
      <w:r w:rsidR="00AE1279">
        <w:rPr>
          <w:rFonts w:ascii="Times New Roman" w:hAnsi="Times New Roman"/>
          <w:color w:val="1D2129"/>
          <w:sz w:val="28"/>
          <w:szCs w:val="21"/>
        </w:rPr>
        <w:t>,</w:t>
      </w:r>
      <w:r>
        <w:rPr>
          <w:rFonts w:ascii="Times New Roman" w:hAnsi="Times New Roman"/>
          <w:color w:val="1D2129"/>
          <w:sz w:val="28"/>
          <w:szCs w:val="21"/>
          <w:lang w:val="vi-VN"/>
        </w:rPr>
        <w:t xml:space="preserve"> </w:t>
      </w:r>
      <w:r>
        <w:rPr>
          <w:rFonts w:ascii="Times New Roman" w:hAnsi="Times New Roman"/>
          <w:color w:val="1D2129"/>
          <w:sz w:val="28"/>
          <w:szCs w:val="21"/>
        </w:rPr>
        <w:t>p</w:t>
      </w:r>
      <w:r w:rsidR="00056D97">
        <w:rPr>
          <w:rFonts w:ascii="Times New Roman" w:hAnsi="Times New Roman"/>
          <w:color w:val="1D2129"/>
          <w:sz w:val="28"/>
          <w:szCs w:val="21"/>
        </w:rPr>
        <w:t xml:space="preserve">hương pháp VCƯ </w:t>
      </w:r>
      <w:r w:rsidR="00056D97" w:rsidRPr="00194DFE">
        <w:rPr>
          <w:rFonts w:ascii="Times New Roman" w:hAnsi="Times New Roman"/>
          <w:color w:val="1D2129"/>
          <w:sz w:val="28"/>
          <w:szCs w:val="21"/>
        </w:rPr>
        <w:t>giảm thiểu</w:t>
      </w:r>
      <w:r w:rsidR="00056D97">
        <w:rPr>
          <w:rFonts w:ascii="Times New Roman" w:hAnsi="Times New Roman"/>
          <w:color w:val="1D2129"/>
          <w:sz w:val="28"/>
          <w:szCs w:val="21"/>
        </w:rPr>
        <w:t xml:space="preserve"> </w:t>
      </w:r>
      <w:r>
        <w:rPr>
          <w:rFonts w:ascii="Times New Roman" w:hAnsi="Times New Roman"/>
          <w:color w:val="1D2129"/>
          <w:sz w:val="28"/>
          <w:szCs w:val="21"/>
        </w:rPr>
        <w:t>được</w:t>
      </w:r>
      <w:r>
        <w:rPr>
          <w:rFonts w:ascii="Times New Roman" w:hAnsi="Times New Roman"/>
          <w:color w:val="1D2129"/>
          <w:sz w:val="28"/>
          <w:szCs w:val="21"/>
          <w:lang w:val="vi-VN"/>
        </w:rPr>
        <w:t xml:space="preserve"> chi phí và tránh được trường hợp tải trọng cần nâng vượt quá sức nâng của cần trục, vì vậy được áp dụng nhiều</w:t>
      </w:r>
      <w:r w:rsidR="00056D97">
        <w:rPr>
          <w:rFonts w:ascii="Times New Roman" w:hAnsi="Times New Roman"/>
          <w:color w:val="1D2129"/>
          <w:sz w:val="28"/>
          <w:szCs w:val="21"/>
        </w:rPr>
        <w:t>. Trong giai đoạn vận chuyển</w:t>
      </w:r>
      <w:r w:rsidR="00124BDF">
        <w:rPr>
          <w:rFonts w:ascii="Times New Roman" w:hAnsi="Times New Roman"/>
          <w:color w:val="1D2129"/>
          <w:sz w:val="28"/>
          <w:szCs w:val="21"/>
        </w:rPr>
        <w:t>,</w:t>
      </w:r>
      <w:r w:rsidR="00056D97">
        <w:rPr>
          <w:rFonts w:ascii="Times New Roman" w:hAnsi="Times New Roman"/>
          <w:color w:val="1D2129"/>
          <w:sz w:val="28"/>
          <w:szCs w:val="21"/>
        </w:rPr>
        <w:t xml:space="preserve"> kết cấu nổi có thể bị dao động lắc và chịu tác động lật lớn do gió, sóng, dòng chảy và lực kéo gây ra. </w:t>
      </w:r>
    </w:p>
    <w:p w14:paraId="4F1F250F" w14:textId="6D883C40" w:rsidR="00056D97" w:rsidRDefault="00056D97" w:rsidP="00124BDF">
      <w:pPr>
        <w:spacing w:after="0" w:line="360" w:lineRule="auto"/>
        <w:ind w:firstLine="567"/>
        <w:jc w:val="both"/>
        <w:rPr>
          <w:rFonts w:ascii="Times New Roman" w:hAnsi="Times New Roman"/>
          <w:color w:val="1D2129"/>
          <w:sz w:val="28"/>
          <w:szCs w:val="21"/>
        </w:rPr>
      </w:pPr>
      <w:r>
        <w:rPr>
          <w:rFonts w:ascii="Times New Roman" w:hAnsi="Times New Roman"/>
          <w:color w:val="1D2129"/>
          <w:sz w:val="28"/>
          <w:szCs w:val="21"/>
        </w:rPr>
        <w:t xml:space="preserve">Để VCƯ </w:t>
      </w:r>
      <w:r w:rsidR="00124BDF">
        <w:rPr>
          <w:rFonts w:ascii="Times New Roman" w:hAnsi="Times New Roman"/>
          <w:color w:val="1D2129"/>
          <w:sz w:val="28"/>
          <w:szCs w:val="21"/>
        </w:rPr>
        <w:t xml:space="preserve">được </w:t>
      </w:r>
      <w:r>
        <w:rPr>
          <w:rFonts w:ascii="Times New Roman" w:hAnsi="Times New Roman"/>
          <w:color w:val="1D2129"/>
          <w:sz w:val="28"/>
          <w:szCs w:val="21"/>
        </w:rPr>
        <w:t>an toàn, cần thực hiện các công việc chuẩn bị, các tính toán liên quan đến đánh giá vận chuyển trên biển bao gồm kiểm tra sơ đồ chất hàng và tình trạng nổi của kết cấu nổi; lựa chọn tuyến vận chuyển; kiểm tra các thông tin thu thập được về dự báo thời tiết (chiều cao sóng, tốc độ gió, nhiệt độ, độ ẩm, tầm nhìn xa,…) trong quá trình vận chuyển; phân tích chuyển động và ổn định của kết cấu nổi; kiểm tra độ bền cục bộ và độ bền tổng thể của kết cấu nổi; tính toán lực kéo</w:t>
      </w:r>
      <w:r w:rsidR="00AE1279">
        <w:rPr>
          <w:rFonts w:ascii="Times New Roman" w:hAnsi="Times New Roman"/>
          <w:color w:val="1D2129"/>
          <w:sz w:val="28"/>
          <w:szCs w:val="21"/>
        </w:rPr>
        <w:t xml:space="preserve"> hoặc </w:t>
      </w:r>
      <w:r>
        <w:rPr>
          <w:rFonts w:ascii="Times New Roman" w:hAnsi="Times New Roman"/>
          <w:color w:val="1D2129"/>
          <w:sz w:val="28"/>
          <w:szCs w:val="21"/>
        </w:rPr>
        <w:t>lực đẩy của tàu kéo</w:t>
      </w:r>
      <w:r w:rsidR="00AE1279">
        <w:rPr>
          <w:rFonts w:ascii="Times New Roman" w:hAnsi="Times New Roman"/>
          <w:color w:val="1D2129"/>
          <w:sz w:val="28"/>
          <w:szCs w:val="21"/>
        </w:rPr>
        <w:t xml:space="preserve"> hoặc </w:t>
      </w:r>
      <w:r>
        <w:rPr>
          <w:rFonts w:ascii="Times New Roman" w:hAnsi="Times New Roman"/>
          <w:color w:val="1D2129"/>
          <w:sz w:val="28"/>
          <w:szCs w:val="21"/>
        </w:rPr>
        <w:t>tàu đẩy; bố trí tàu kéo và lập quy trình kéo; lập hành trình kéo kết cấu nổi.</w:t>
      </w:r>
    </w:p>
    <w:p w14:paraId="78DD91EE" w14:textId="77777777" w:rsidR="00056D97" w:rsidRDefault="00056D97" w:rsidP="00056D97">
      <w:pPr>
        <w:spacing w:after="0" w:line="360" w:lineRule="auto"/>
        <w:jc w:val="right"/>
        <w:rPr>
          <w:rFonts w:ascii="Times New Roman" w:hAnsi="Times New Roman"/>
          <w:b/>
          <w:bCs/>
          <w:color w:val="1D2129"/>
          <w:sz w:val="24"/>
          <w:szCs w:val="20"/>
        </w:rPr>
      </w:pPr>
      <w:r>
        <w:rPr>
          <w:rFonts w:ascii="Times New Roman" w:hAnsi="Times New Roman"/>
          <w:b/>
          <w:bCs/>
          <w:color w:val="1D2129"/>
          <w:sz w:val="24"/>
          <w:szCs w:val="20"/>
        </w:rPr>
        <w:t>NGUYỄN QUỐC HÒA</w:t>
      </w:r>
    </w:p>
    <w:p w14:paraId="67343D5D" w14:textId="77777777" w:rsidR="00056D97" w:rsidRDefault="00056D97" w:rsidP="00056D97">
      <w:pPr>
        <w:spacing w:after="0" w:line="360" w:lineRule="auto"/>
        <w:jc w:val="both"/>
        <w:rPr>
          <w:rFonts w:ascii="Times New Roman" w:hAnsi="Times New Roman"/>
          <w:b/>
          <w:bCs/>
          <w:color w:val="1D2129"/>
          <w:sz w:val="24"/>
          <w:szCs w:val="20"/>
        </w:rPr>
      </w:pPr>
      <w:r>
        <w:rPr>
          <w:rFonts w:ascii="Times New Roman" w:hAnsi="Times New Roman"/>
          <w:b/>
          <w:bCs/>
          <w:color w:val="1D2129"/>
          <w:sz w:val="24"/>
          <w:szCs w:val="20"/>
        </w:rPr>
        <w:t>Tài liệu tham khảo</w:t>
      </w:r>
    </w:p>
    <w:p w14:paraId="5A22F3D2" w14:textId="77777777" w:rsidR="00056D97" w:rsidRDefault="00056D97" w:rsidP="00056D97">
      <w:pPr>
        <w:widowControl w:val="0"/>
        <w:numPr>
          <w:ilvl w:val="0"/>
          <w:numId w:val="2"/>
        </w:numPr>
        <w:spacing w:after="0" w:line="360" w:lineRule="auto"/>
        <w:ind w:left="357" w:hanging="357"/>
        <w:contextualSpacing/>
        <w:jc w:val="both"/>
        <w:rPr>
          <w:rFonts w:ascii="Times New Roman" w:hAnsi="Times New Roman"/>
          <w:color w:val="000000"/>
          <w:sz w:val="24"/>
          <w:szCs w:val="24"/>
        </w:rPr>
      </w:pPr>
      <w:r>
        <w:rPr>
          <w:rFonts w:ascii="Times New Roman" w:hAnsi="Times New Roman"/>
          <w:color w:val="000000"/>
          <w:sz w:val="24"/>
          <w:szCs w:val="26"/>
        </w:rPr>
        <w:t xml:space="preserve">API, </w:t>
      </w:r>
      <w:r>
        <w:rPr>
          <w:rFonts w:ascii="Times New Roman" w:hAnsi="Times New Roman"/>
          <w:i/>
          <w:color w:val="000000"/>
          <w:sz w:val="24"/>
          <w:szCs w:val="26"/>
        </w:rPr>
        <w:t>Recommended Practice for Planning, Designing and Constructing Fixed Offshore Platforms</w:t>
      </w:r>
      <w:r>
        <w:rPr>
          <w:rFonts w:ascii="Times New Roman" w:hAnsi="Times New Roman"/>
          <w:color w:val="000000"/>
          <w:sz w:val="24"/>
          <w:szCs w:val="26"/>
        </w:rPr>
        <w:t xml:space="preserve">, American Petroleum Institute Publication </w:t>
      </w:r>
      <w:r>
        <w:rPr>
          <w:rFonts w:ascii="Times New Roman" w:hAnsi="Times New Roman"/>
          <w:color w:val="1D2129"/>
          <w:sz w:val="24"/>
          <w:szCs w:val="18"/>
        </w:rPr>
        <w:t>RP 2A-WSD</w:t>
      </w:r>
      <w:r>
        <w:rPr>
          <w:rFonts w:ascii="Times New Roman" w:hAnsi="Times New Roman"/>
          <w:color w:val="000000"/>
          <w:sz w:val="24"/>
          <w:szCs w:val="26"/>
        </w:rPr>
        <w:t>, Dallas, Texas, USA</w:t>
      </w:r>
      <w:r w:rsidR="00124BDF">
        <w:rPr>
          <w:rFonts w:ascii="Times New Roman" w:hAnsi="Times New Roman"/>
          <w:color w:val="000000"/>
          <w:sz w:val="24"/>
          <w:szCs w:val="26"/>
        </w:rPr>
        <w:t>,</w:t>
      </w:r>
      <w:r>
        <w:rPr>
          <w:rFonts w:ascii="Times New Roman" w:hAnsi="Times New Roman"/>
          <w:color w:val="000000"/>
          <w:sz w:val="24"/>
          <w:szCs w:val="26"/>
        </w:rPr>
        <w:t xml:space="preserve"> 2007</w:t>
      </w:r>
      <w:r w:rsidR="00124BDF">
        <w:rPr>
          <w:rFonts w:ascii="Times New Roman" w:hAnsi="Times New Roman"/>
          <w:color w:val="000000"/>
          <w:sz w:val="24"/>
          <w:szCs w:val="26"/>
        </w:rPr>
        <w:t>.</w:t>
      </w:r>
      <w:bookmarkStart w:id="0" w:name="_Hlk66653925"/>
    </w:p>
    <w:p w14:paraId="09F0B3BB" w14:textId="77777777" w:rsidR="00056D97" w:rsidRDefault="00056D97" w:rsidP="00056D97">
      <w:pPr>
        <w:widowControl w:val="0"/>
        <w:numPr>
          <w:ilvl w:val="0"/>
          <w:numId w:val="2"/>
        </w:numPr>
        <w:spacing w:after="0" w:line="360" w:lineRule="auto"/>
        <w:ind w:left="357" w:hanging="357"/>
        <w:contextualSpacing/>
        <w:jc w:val="both"/>
        <w:rPr>
          <w:rFonts w:ascii="Times New Roman" w:hAnsi="Times New Roman"/>
          <w:color w:val="1D2129"/>
          <w:sz w:val="24"/>
          <w:szCs w:val="20"/>
        </w:rPr>
      </w:pPr>
      <w:r>
        <w:rPr>
          <w:rFonts w:ascii="Times New Roman" w:hAnsi="Times New Roman"/>
          <w:color w:val="000000"/>
          <w:sz w:val="24"/>
          <w:szCs w:val="24"/>
        </w:rPr>
        <w:t xml:space="preserve">DNV, </w:t>
      </w:r>
      <w:r>
        <w:rPr>
          <w:rFonts w:ascii="Times New Roman" w:hAnsi="Times New Roman"/>
          <w:i/>
          <w:iCs/>
          <w:color w:val="000000"/>
          <w:sz w:val="24"/>
          <w:szCs w:val="24"/>
        </w:rPr>
        <w:t>Rules for the Design, Construction and Inspection of Offshore Structures</w:t>
      </w:r>
      <w:r>
        <w:rPr>
          <w:rFonts w:ascii="Times New Roman" w:hAnsi="Times New Roman"/>
          <w:color w:val="000000"/>
          <w:sz w:val="24"/>
          <w:szCs w:val="24"/>
        </w:rPr>
        <w:t>, Norway, 1982, 2007.</w:t>
      </w:r>
      <w:bookmarkEnd w:id="0"/>
    </w:p>
    <w:p w14:paraId="722BCABF" w14:textId="77777777" w:rsidR="00EF1463" w:rsidRDefault="00056D97" w:rsidP="00EF1463">
      <w:pPr>
        <w:widowControl w:val="0"/>
        <w:numPr>
          <w:ilvl w:val="0"/>
          <w:numId w:val="2"/>
        </w:numPr>
        <w:spacing w:after="0" w:line="360" w:lineRule="auto"/>
        <w:ind w:left="357" w:hanging="357"/>
        <w:contextualSpacing/>
        <w:jc w:val="both"/>
        <w:rPr>
          <w:rFonts w:ascii="Times New Roman" w:hAnsi="Times New Roman"/>
          <w:color w:val="1D2129"/>
          <w:sz w:val="24"/>
          <w:szCs w:val="20"/>
        </w:rPr>
      </w:pPr>
      <w:r w:rsidRPr="00EF1463">
        <w:rPr>
          <w:rFonts w:ascii="Times New Roman" w:hAnsi="Times New Roman"/>
          <w:color w:val="1D2129"/>
          <w:sz w:val="24"/>
          <w:szCs w:val="20"/>
        </w:rPr>
        <w:t>GL DNV. “</w:t>
      </w:r>
      <w:r w:rsidRPr="00EF1463">
        <w:rPr>
          <w:rFonts w:ascii="Times New Roman" w:hAnsi="Times New Roman"/>
          <w:i/>
          <w:color w:val="1D2129"/>
          <w:sz w:val="24"/>
          <w:szCs w:val="20"/>
        </w:rPr>
        <w:t>DNV-OS-H202: Sea transport operations</w:t>
      </w:r>
      <w:r w:rsidRPr="00EF1463">
        <w:rPr>
          <w:rFonts w:ascii="Times New Roman" w:hAnsi="Times New Roman"/>
          <w:color w:val="1D2129"/>
          <w:sz w:val="24"/>
          <w:szCs w:val="20"/>
        </w:rPr>
        <w:t>”. In: DNV GL (2015).</w:t>
      </w:r>
    </w:p>
    <w:p w14:paraId="150DFBF9" w14:textId="77777777" w:rsidR="00056D97" w:rsidRPr="00EF1463" w:rsidRDefault="00056D97" w:rsidP="00EF1463">
      <w:pPr>
        <w:widowControl w:val="0"/>
        <w:numPr>
          <w:ilvl w:val="0"/>
          <w:numId w:val="2"/>
        </w:numPr>
        <w:spacing w:after="0" w:line="360" w:lineRule="auto"/>
        <w:ind w:left="357" w:hanging="357"/>
        <w:contextualSpacing/>
        <w:jc w:val="both"/>
        <w:rPr>
          <w:rFonts w:ascii="Times New Roman" w:hAnsi="Times New Roman"/>
          <w:color w:val="1D2129"/>
          <w:sz w:val="24"/>
          <w:szCs w:val="20"/>
        </w:rPr>
      </w:pPr>
      <w:r w:rsidRPr="00EF1463">
        <w:rPr>
          <w:rFonts w:ascii="Times New Roman" w:hAnsi="Times New Roman"/>
          <w:color w:val="1D2129"/>
          <w:sz w:val="24"/>
          <w:szCs w:val="20"/>
        </w:rPr>
        <w:t>GL DNV. “</w:t>
      </w:r>
      <w:r w:rsidRPr="00EF1463">
        <w:rPr>
          <w:rFonts w:ascii="Times New Roman" w:hAnsi="Times New Roman"/>
          <w:i/>
          <w:color w:val="1D2129"/>
          <w:sz w:val="24"/>
          <w:szCs w:val="20"/>
        </w:rPr>
        <w:t>DNV-RP-H103: Modelling and Analysis of Marine Operations</w:t>
      </w:r>
      <w:r w:rsidRPr="00EF1463">
        <w:rPr>
          <w:rFonts w:ascii="Times New Roman" w:hAnsi="Times New Roman"/>
          <w:color w:val="1D2129"/>
          <w:sz w:val="24"/>
          <w:szCs w:val="20"/>
        </w:rPr>
        <w:t>”. In: DNV GL (2014).</w:t>
      </w:r>
      <w:r w:rsidR="00FC4527" w:rsidRPr="00EF1463">
        <w:rPr>
          <w:rFonts w:ascii="Times New Roman" w:hAnsi="Times New Roman"/>
          <w:color w:val="1D2129"/>
          <w:sz w:val="24"/>
          <w:szCs w:val="20"/>
        </w:rPr>
        <w:t xml:space="preserve"> </w:t>
      </w:r>
    </w:p>
    <w:p w14:paraId="5488393A" w14:textId="77777777" w:rsidR="00056D97" w:rsidRDefault="00056D97" w:rsidP="00056D97">
      <w:pPr>
        <w:spacing w:after="0" w:line="240" w:lineRule="auto"/>
        <w:rPr>
          <w:rFonts w:ascii="Times New Roman" w:eastAsia="Times New Roman" w:hAnsi="Times New Roman"/>
          <w:b/>
          <w:bCs/>
          <w:color w:val="FF0000"/>
          <w:sz w:val="26"/>
          <w:szCs w:val="26"/>
          <w:lang w:val="en-GB" w:eastAsia="en-GB"/>
        </w:rPr>
      </w:pPr>
    </w:p>
    <w:p w14:paraId="090841A3" w14:textId="77777777" w:rsidR="00472AF0" w:rsidRDefault="00472AF0"/>
    <w:sectPr w:rsidR="00472AF0" w:rsidSect="00AE127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6140A"/>
    <w:multiLevelType w:val="multilevel"/>
    <w:tmpl w:val="93E2B7C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2C9508C8"/>
    <w:multiLevelType w:val="hybridMultilevel"/>
    <w:tmpl w:val="22F472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721785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94510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4B9"/>
    <w:rsid w:val="000553F4"/>
    <w:rsid w:val="00056D97"/>
    <w:rsid w:val="00124BDF"/>
    <w:rsid w:val="00131380"/>
    <w:rsid w:val="00194DFE"/>
    <w:rsid w:val="002A57EC"/>
    <w:rsid w:val="00472AF0"/>
    <w:rsid w:val="004C64B9"/>
    <w:rsid w:val="00534C01"/>
    <w:rsid w:val="005C1F5F"/>
    <w:rsid w:val="007233EB"/>
    <w:rsid w:val="00734C5D"/>
    <w:rsid w:val="007B33D4"/>
    <w:rsid w:val="007E3DE7"/>
    <w:rsid w:val="00A779C8"/>
    <w:rsid w:val="00AE1279"/>
    <w:rsid w:val="00B219AB"/>
    <w:rsid w:val="00B963AB"/>
    <w:rsid w:val="00EF1463"/>
    <w:rsid w:val="00FC4527"/>
    <w:rsid w:val="00FD7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8434D"/>
  <w15:docId w15:val="{F38E89E7-8D4E-47D7-A2E3-99DA6F3CA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97"/>
    <w:pPr>
      <w:spacing w:after="160" w:line="256" w:lineRule="auto"/>
    </w:pPr>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19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9A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53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HuuThanh</dc:creator>
  <cp:lastModifiedBy>Tan Tran Van</cp:lastModifiedBy>
  <cp:revision>3</cp:revision>
  <dcterms:created xsi:type="dcterms:W3CDTF">2023-09-17T02:56:00Z</dcterms:created>
  <dcterms:modified xsi:type="dcterms:W3CDTF">2023-09-17T02:58:00Z</dcterms:modified>
</cp:coreProperties>
</file>